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21E" w:rsidRPr="0012021E" w:rsidRDefault="0012021E" w:rsidP="0012021E">
      <w:pPr>
        <w:keepNext/>
        <w:spacing w:after="60" w:line="240" w:lineRule="auto"/>
        <w:jc w:val="center"/>
        <w:outlineLvl w:val="2"/>
        <w:rPr>
          <w:rFonts w:ascii="Calibri" w:eastAsia="Times New Roman" w:hAnsi="Calibri" w:cs="Calibri"/>
          <w:color w:val="000000"/>
          <w:sz w:val="28"/>
          <w:szCs w:val="28"/>
          <w:lang w:val="sr-Cyrl-RS" w:eastAsia="x-none"/>
        </w:rPr>
      </w:pPr>
      <w:bookmarkStart w:id="0" w:name="_Toc208530474"/>
      <w:bookmarkStart w:id="1" w:name="_Toc208530770"/>
      <w:r w:rsidRPr="0012021E">
        <w:rPr>
          <w:rFonts w:ascii="Calibri" w:eastAsia="Times New Roman" w:hAnsi="Calibri" w:cs="Calibri"/>
          <w:color w:val="000000"/>
          <w:sz w:val="28"/>
          <w:szCs w:val="28"/>
          <w:lang w:val="sr-Latn-CS" w:eastAsia="x-none"/>
        </w:rPr>
        <w:t>Радно време руководства и стручне службе</w:t>
      </w:r>
      <w:bookmarkEnd w:id="0"/>
      <w:bookmarkEnd w:id="1"/>
    </w:p>
    <w:p w:rsidR="0012021E" w:rsidRPr="0012021E" w:rsidRDefault="0012021E" w:rsidP="0012021E">
      <w:pPr>
        <w:spacing w:after="0" w:line="240" w:lineRule="auto"/>
        <w:rPr>
          <w:rFonts w:ascii="Times New Roman" w:eastAsia="MS Mincho" w:hAnsi="Times New Roman" w:cs="Times New Roman"/>
          <w:color w:val="FF0000"/>
          <w:sz w:val="24"/>
          <w:szCs w:val="24"/>
          <w:lang w:val="sr-Cyrl-RS"/>
        </w:rPr>
      </w:pPr>
    </w:p>
    <w:p w:rsidR="0012021E" w:rsidRPr="0012021E" w:rsidRDefault="0012021E" w:rsidP="0012021E">
      <w:pPr>
        <w:spacing w:after="0" w:line="240" w:lineRule="auto"/>
        <w:rPr>
          <w:rFonts w:ascii="Times New Roman" w:eastAsia="MS Mincho" w:hAnsi="Times New Roman" w:cs="Times New Roman"/>
          <w:color w:val="FF0000"/>
          <w:sz w:val="24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8"/>
        <w:gridCol w:w="822"/>
        <w:gridCol w:w="1409"/>
        <w:gridCol w:w="1333"/>
        <w:gridCol w:w="1363"/>
        <w:gridCol w:w="1333"/>
        <w:gridCol w:w="1268"/>
      </w:tblGrid>
      <w:tr w:rsidR="0012021E" w:rsidRPr="0012021E" w:rsidTr="00564690">
        <w:trPr>
          <w:trHeight w:val="288"/>
          <w:jc w:val="center"/>
        </w:trPr>
        <w:tc>
          <w:tcPr>
            <w:tcW w:w="280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DE9D9"/>
            <w:vAlign w:val="center"/>
            <w:hideMark/>
          </w:tcPr>
          <w:p w:rsidR="0012021E" w:rsidRPr="0012021E" w:rsidRDefault="0012021E" w:rsidP="0012021E">
            <w:pPr>
              <w:spacing w:after="0" w:line="240" w:lineRule="auto"/>
              <w:rPr>
                <w:rFonts w:ascii="Calibri" w:eastAsia="MS Mincho" w:hAnsi="Calibri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82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</w:tcPr>
          <w:p w:rsidR="0012021E" w:rsidRPr="0012021E" w:rsidRDefault="0012021E" w:rsidP="0012021E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40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vAlign w:val="center"/>
            <w:hideMark/>
          </w:tcPr>
          <w:p w:rsidR="0012021E" w:rsidRPr="0012021E" w:rsidRDefault="0012021E" w:rsidP="0012021E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>понедељак</w:t>
            </w:r>
            <w:proofErr w:type="spellEnd"/>
          </w:p>
        </w:tc>
        <w:tc>
          <w:tcPr>
            <w:tcW w:w="151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vAlign w:val="center"/>
            <w:hideMark/>
          </w:tcPr>
          <w:p w:rsidR="0012021E" w:rsidRPr="0012021E" w:rsidRDefault="0012021E" w:rsidP="0012021E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>уторак</w:t>
            </w:r>
            <w:proofErr w:type="spellEnd"/>
          </w:p>
        </w:tc>
        <w:tc>
          <w:tcPr>
            <w:tcW w:w="160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vAlign w:val="center"/>
            <w:hideMark/>
          </w:tcPr>
          <w:p w:rsidR="0012021E" w:rsidRPr="0012021E" w:rsidRDefault="0012021E" w:rsidP="0012021E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>среда</w:t>
            </w:r>
            <w:proofErr w:type="spellEnd"/>
          </w:p>
        </w:tc>
        <w:tc>
          <w:tcPr>
            <w:tcW w:w="151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vAlign w:val="center"/>
            <w:hideMark/>
          </w:tcPr>
          <w:p w:rsidR="0012021E" w:rsidRPr="0012021E" w:rsidRDefault="0012021E" w:rsidP="0012021E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>четвртак</w:t>
            </w:r>
            <w:proofErr w:type="spellEnd"/>
          </w:p>
        </w:tc>
        <w:tc>
          <w:tcPr>
            <w:tcW w:w="132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vAlign w:val="center"/>
            <w:hideMark/>
          </w:tcPr>
          <w:p w:rsidR="0012021E" w:rsidRPr="0012021E" w:rsidRDefault="0012021E" w:rsidP="0012021E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>петак</w:t>
            </w:r>
            <w:proofErr w:type="spellEnd"/>
          </w:p>
        </w:tc>
      </w:tr>
      <w:tr w:rsidR="0012021E" w:rsidRPr="0012021E" w:rsidTr="00564690">
        <w:trPr>
          <w:trHeight w:val="432"/>
          <w:jc w:val="center"/>
        </w:trPr>
        <w:tc>
          <w:tcPr>
            <w:tcW w:w="280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DE9D9"/>
            <w:vAlign w:val="center"/>
            <w:hideMark/>
          </w:tcPr>
          <w:p w:rsidR="0012021E" w:rsidRPr="0012021E" w:rsidRDefault="0012021E" w:rsidP="0012021E">
            <w:pPr>
              <w:spacing w:after="0" w:line="240" w:lineRule="auto"/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>Миљан</w:t>
            </w:r>
            <w:proofErr w:type="spellEnd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>Бојанић</w:t>
            </w:r>
            <w:proofErr w:type="spellEnd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>директор</w:t>
            </w:r>
            <w:proofErr w:type="spellEnd"/>
          </w:p>
        </w:tc>
        <w:tc>
          <w:tcPr>
            <w:tcW w:w="82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021E" w:rsidRPr="0012021E" w:rsidRDefault="0012021E" w:rsidP="0012021E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bCs/>
                <w:color w:val="000000"/>
                <w:lang w:eastAsia="ja-JP"/>
              </w:rPr>
            </w:pPr>
            <w:proofErr w:type="spellStart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lang w:eastAsia="ja-JP"/>
              </w:rPr>
              <w:t>време</w:t>
            </w:r>
            <w:proofErr w:type="spellEnd"/>
          </w:p>
        </w:tc>
        <w:tc>
          <w:tcPr>
            <w:tcW w:w="140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2021E" w:rsidRPr="0012021E" w:rsidRDefault="0012021E" w:rsidP="0012021E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color w:val="000000"/>
                <w:lang w:val="sr-Cyrl-RS" w:eastAsia="ja-JP"/>
              </w:rPr>
            </w:pP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>пре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>подне</w:t>
            </w:r>
            <w:proofErr w:type="spellEnd"/>
          </w:p>
        </w:tc>
        <w:tc>
          <w:tcPr>
            <w:tcW w:w="151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2021E" w:rsidRPr="0012021E" w:rsidRDefault="0012021E" w:rsidP="0012021E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color w:val="000000"/>
                <w:lang w:val="sr-Cyrl-RS" w:eastAsia="ja-JP"/>
              </w:rPr>
            </w:pP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>пре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>подне</w:t>
            </w:r>
            <w:proofErr w:type="spellEnd"/>
          </w:p>
        </w:tc>
        <w:tc>
          <w:tcPr>
            <w:tcW w:w="160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021E" w:rsidRPr="0012021E" w:rsidRDefault="0012021E" w:rsidP="0012021E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color w:val="000000"/>
                <w:lang w:eastAsia="ja-JP"/>
              </w:rPr>
            </w:pP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>пре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>подне</w:t>
            </w:r>
            <w:proofErr w:type="spellEnd"/>
          </w:p>
        </w:tc>
        <w:tc>
          <w:tcPr>
            <w:tcW w:w="151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021E" w:rsidRPr="0012021E" w:rsidRDefault="0012021E" w:rsidP="0012021E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color w:val="000000"/>
                <w:lang w:eastAsia="ja-JP"/>
              </w:rPr>
            </w:pP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>пре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>подне</w:t>
            </w:r>
            <w:proofErr w:type="spellEnd"/>
          </w:p>
        </w:tc>
        <w:tc>
          <w:tcPr>
            <w:tcW w:w="132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021E" w:rsidRPr="0012021E" w:rsidRDefault="0012021E" w:rsidP="0012021E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color w:val="000000"/>
                <w:lang w:eastAsia="ja-JP"/>
              </w:rPr>
            </w:pP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>пре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>подне</w:t>
            </w:r>
            <w:proofErr w:type="spellEnd"/>
          </w:p>
        </w:tc>
      </w:tr>
      <w:tr w:rsidR="0012021E" w:rsidRPr="0012021E" w:rsidTr="00564690">
        <w:trPr>
          <w:trHeight w:val="20"/>
          <w:jc w:val="center"/>
        </w:trPr>
        <w:tc>
          <w:tcPr>
            <w:tcW w:w="280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12021E" w:rsidRPr="0012021E" w:rsidRDefault="0012021E" w:rsidP="0012021E">
            <w:pPr>
              <w:spacing w:after="0" w:line="240" w:lineRule="auto"/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021E" w:rsidRPr="0012021E" w:rsidRDefault="0012021E" w:rsidP="0012021E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bCs/>
                <w:color w:val="000000"/>
                <w:lang w:eastAsia="ja-JP"/>
              </w:rPr>
            </w:pPr>
            <w:proofErr w:type="spellStart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lang w:eastAsia="ja-JP"/>
              </w:rPr>
              <w:t>место</w:t>
            </w:r>
            <w:proofErr w:type="spellEnd"/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021E" w:rsidRPr="0012021E" w:rsidRDefault="0012021E" w:rsidP="0012021E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color w:val="000000"/>
                <w:lang w:eastAsia="ja-JP"/>
              </w:rPr>
            </w:pP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>Чокот</w:t>
            </w:r>
            <w:proofErr w:type="spellEnd"/>
          </w:p>
          <w:p w:rsidR="0012021E" w:rsidRPr="0012021E" w:rsidRDefault="0012021E" w:rsidP="0012021E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color w:val="000000"/>
                <w:lang w:eastAsia="ja-JP"/>
              </w:rPr>
            </w:pPr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>(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>издвојено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>одељење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>)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021E" w:rsidRPr="0012021E" w:rsidRDefault="0012021E" w:rsidP="0012021E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color w:val="000000"/>
                <w:lang w:eastAsia="ja-JP"/>
              </w:rPr>
            </w:pP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>Чокот</w:t>
            </w:r>
            <w:proofErr w:type="spellEnd"/>
          </w:p>
          <w:p w:rsidR="0012021E" w:rsidRPr="0012021E" w:rsidRDefault="0012021E" w:rsidP="0012021E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color w:val="000000"/>
                <w:lang w:eastAsia="ja-JP"/>
              </w:rPr>
            </w:pPr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>(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>издвојено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>одељење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>)</w:t>
            </w:r>
          </w:p>
        </w:tc>
        <w:tc>
          <w:tcPr>
            <w:tcW w:w="16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021E" w:rsidRPr="0012021E" w:rsidRDefault="0012021E" w:rsidP="0012021E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color w:val="000000"/>
                <w:lang w:eastAsia="ja-JP"/>
              </w:rPr>
            </w:pP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>Чокот</w:t>
            </w:r>
            <w:proofErr w:type="spellEnd"/>
          </w:p>
          <w:p w:rsidR="0012021E" w:rsidRPr="0012021E" w:rsidRDefault="0012021E" w:rsidP="0012021E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color w:val="000000"/>
                <w:lang w:eastAsia="ja-JP"/>
              </w:rPr>
            </w:pPr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>(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>издвојено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>одељење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>)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2021E" w:rsidRPr="0012021E" w:rsidRDefault="0012021E" w:rsidP="0012021E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color w:val="000000"/>
                <w:lang w:eastAsia="ja-JP"/>
              </w:rPr>
            </w:pP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>Чокот</w:t>
            </w:r>
            <w:proofErr w:type="spellEnd"/>
          </w:p>
          <w:p w:rsidR="0012021E" w:rsidRPr="0012021E" w:rsidRDefault="0012021E" w:rsidP="0012021E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color w:val="000000"/>
                <w:lang w:eastAsia="ja-JP"/>
              </w:rPr>
            </w:pPr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>(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>издвојено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>одељење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>)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2021E" w:rsidRPr="0012021E" w:rsidRDefault="0012021E" w:rsidP="0012021E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color w:val="000000"/>
                <w:lang w:eastAsia="ja-JP"/>
              </w:rPr>
            </w:pP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>Чокот</w:t>
            </w:r>
            <w:proofErr w:type="spellEnd"/>
          </w:p>
          <w:p w:rsidR="0012021E" w:rsidRPr="0012021E" w:rsidRDefault="0012021E" w:rsidP="0012021E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color w:val="000000"/>
                <w:lang w:eastAsia="ja-JP"/>
              </w:rPr>
            </w:pPr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>(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>издвојено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>одељење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lang w:eastAsia="ja-JP"/>
              </w:rPr>
              <w:t>)</w:t>
            </w:r>
          </w:p>
        </w:tc>
      </w:tr>
      <w:tr w:rsidR="0012021E" w:rsidRPr="0012021E" w:rsidTr="00564690">
        <w:trPr>
          <w:trHeight w:val="57"/>
          <w:jc w:val="center"/>
        </w:trPr>
        <w:tc>
          <w:tcPr>
            <w:tcW w:w="280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DE9D9"/>
            <w:vAlign w:val="center"/>
            <w:hideMark/>
          </w:tcPr>
          <w:p w:rsidR="0012021E" w:rsidRPr="0012021E" w:rsidRDefault="0012021E" w:rsidP="0012021E">
            <w:pPr>
              <w:spacing w:after="0" w:line="240" w:lineRule="auto"/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val="sr-Cyrl-RS" w:eastAsia="ja-JP"/>
              </w:rPr>
              <w:t>Јелена Јовановић</w:t>
            </w:r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>помоћник</w:t>
            </w:r>
            <w:proofErr w:type="spellEnd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>директора</w:t>
            </w:r>
            <w:proofErr w:type="spellEnd"/>
          </w:p>
        </w:tc>
        <w:tc>
          <w:tcPr>
            <w:tcW w:w="8188" w:type="dxa"/>
            <w:gridSpan w:val="6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021E" w:rsidRPr="0012021E" w:rsidRDefault="0012021E" w:rsidP="0012021E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color w:val="000000"/>
                <w:sz w:val="28"/>
                <w:szCs w:val="28"/>
                <w:lang w:val="sr-Cyrl-RS" w:eastAsia="ja-JP"/>
              </w:rPr>
            </w:pP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Због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разуђености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школе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и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потребе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да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се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руководство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школе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и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стручна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служба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учине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доступним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свим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ученицима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родитељима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и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запосленима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обиласком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издвојених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одељења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, 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радно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време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помоћника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директора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и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стручних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сарадника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планира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се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на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недељном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нивоу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о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чему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се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благовремено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обавештавају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запослени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родитељи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и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ученици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путем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уобичајених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канала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комуникације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(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огласне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табле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сајт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школе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 xml:space="preserve"> и </w:t>
            </w:r>
            <w:proofErr w:type="spellStart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сл</w:t>
            </w:r>
            <w:proofErr w:type="spellEnd"/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eastAsia="ja-JP"/>
              </w:rPr>
              <w:t>)</w:t>
            </w:r>
            <w:r w:rsidRPr="0012021E">
              <w:rPr>
                <w:rFonts w:ascii="Calibri" w:eastAsia="MS Mincho" w:hAnsi="Calibri" w:cs="Times New Roman"/>
                <w:color w:val="000000"/>
                <w:sz w:val="28"/>
                <w:szCs w:val="28"/>
                <w:lang w:val="sr-Cyrl-RS" w:eastAsia="ja-JP"/>
              </w:rPr>
              <w:t>.</w:t>
            </w:r>
          </w:p>
        </w:tc>
      </w:tr>
      <w:tr w:rsidR="0012021E" w:rsidRPr="0012021E" w:rsidTr="00564690">
        <w:trPr>
          <w:trHeight w:val="20"/>
          <w:jc w:val="center"/>
        </w:trPr>
        <w:tc>
          <w:tcPr>
            <w:tcW w:w="280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DE9D9"/>
            <w:vAlign w:val="center"/>
            <w:hideMark/>
          </w:tcPr>
          <w:p w:rsidR="0012021E" w:rsidRPr="0012021E" w:rsidRDefault="0012021E" w:rsidP="0012021E">
            <w:pPr>
              <w:spacing w:after="0" w:line="240" w:lineRule="auto"/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>Драгана</w:t>
            </w:r>
            <w:proofErr w:type="spellEnd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>Леповић</w:t>
            </w:r>
            <w:proofErr w:type="spellEnd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>Стефановић</w:t>
            </w:r>
            <w:proofErr w:type="spellEnd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>педагог</w:t>
            </w:r>
            <w:proofErr w:type="spellEnd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и </w:t>
            </w:r>
            <w:proofErr w:type="spellStart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>помоћник</w:t>
            </w:r>
            <w:proofErr w:type="spellEnd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>директора</w:t>
            </w:r>
            <w:proofErr w:type="spellEnd"/>
          </w:p>
        </w:tc>
        <w:tc>
          <w:tcPr>
            <w:tcW w:w="8188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2021E" w:rsidRPr="0012021E" w:rsidRDefault="0012021E" w:rsidP="0012021E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color w:val="000000"/>
                <w:sz w:val="24"/>
                <w:szCs w:val="24"/>
                <w:lang w:val="sr-Cyrl-CS" w:eastAsia="ja-JP"/>
              </w:rPr>
            </w:pPr>
          </w:p>
        </w:tc>
      </w:tr>
      <w:tr w:rsidR="0012021E" w:rsidRPr="0012021E" w:rsidTr="00564690">
        <w:trPr>
          <w:trHeight w:val="576"/>
          <w:jc w:val="center"/>
        </w:trPr>
        <w:tc>
          <w:tcPr>
            <w:tcW w:w="280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DE9D9"/>
            <w:vAlign w:val="center"/>
            <w:hideMark/>
          </w:tcPr>
          <w:p w:rsidR="0012021E" w:rsidRPr="0012021E" w:rsidRDefault="0012021E" w:rsidP="0012021E">
            <w:pPr>
              <w:spacing w:after="0" w:line="240" w:lineRule="auto"/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val="sr-Cyrl-RS" w:eastAsia="ja-JP"/>
              </w:rPr>
              <w:t>Марија Милошевић</w:t>
            </w:r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>педагог</w:t>
            </w:r>
            <w:proofErr w:type="spellEnd"/>
          </w:p>
        </w:tc>
        <w:tc>
          <w:tcPr>
            <w:tcW w:w="8188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12021E" w:rsidRPr="0012021E" w:rsidRDefault="0012021E" w:rsidP="0012021E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color w:val="000000"/>
                <w:sz w:val="24"/>
                <w:szCs w:val="24"/>
                <w:lang w:val="sr-Cyrl-CS" w:eastAsia="ja-JP"/>
              </w:rPr>
            </w:pPr>
          </w:p>
        </w:tc>
      </w:tr>
      <w:tr w:rsidR="0012021E" w:rsidRPr="0012021E" w:rsidTr="00564690">
        <w:trPr>
          <w:trHeight w:val="576"/>
          <w:jc w:val="center"/>
        </w:trPr>
        <w:tc>
          <w:tcPr>
            <w:tcW w:w="280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DE9D9"/>
            <w:vAlign w:val="center"/>
            <w:hideMark/>
          </w:tcPr>
          <w:p w:rsidR="0012021E" w:rsidRPr="0012021E" w:rsidRDefault="0012021E" w:rsidP="0012021E">
            <w:pPr>
              <w:spacing w:after="0" w:line="240" w:lineRule="auto"/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val="sr-Cyrl-RS" w:eastAsia="ja-JP"/>
              </w:rPr>
            </w:pPr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val="sr-Cyrl-RS" w:eastAsia="ja-JP"/>
              </w:rPr>
              <w:t>Марија Младеновић, педагог</w:t>
            </w:r>
          </w:p>
        </w:tc>
        <w:tc>
          <w:tcPr>
            <w:tcW w:w="8188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12021E" w:rsidRPr="0012021E" w:rsidRDefault="0012021E" w:rsidP="0012021E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color w:val="FF0000"/>
                <w:sz w:val="24"/>
                <w:szCs w:val="24"/>
                <w:lang w:val="sr-Cyrl-CS" w:eastAsia="ja-JP"/>
              </w:rPr>
            </w:pPr>
          </w:p>
        </w:tc>
      </w:tr>
      <w:tr w:rsidR="0012021E" w:rsidRPr="0012021E" w:rsidTr="00564690">
        <w:trPr>
          <w:trHeight w:val="20"/>
          <w:jc w:val="center"/>
        </w:trPr>
        <w:tc>
          <w:tcPr>
            <w:tcW w:w="280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DE9D9"/>
            <w:vAlign w:val="center"/>
            <w:hideMark/>
          </w:tcPr>
          <w:p w:rsidR="0012021E" w:rsidRPr="0012021E" w:rsidRDefault="0012021E" w:rsidP="0012021E">
            <w:pPr>
              <w:spacing w:after="0" w:line="240" w:lineRule="auto"/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>Ивана</w:t>
            </w:r>
            <w:proofErr w:type="spellEnd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>Ђорђевић</w:t>
            </w:r>
            <w:proofErr w:type="spellEnd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>психолог</w:t>
            </w:r>
            <w:proofErr w:type="spellEnd"/>
          </w:p>
        </w:tc>
        <w:tc>
          <w:tcPr>
            <w:tcW w:w="8188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12021E" w:rsidRPr="0012021E" w:rsidRDefault="0012021E" w:rsidP="0012021E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color w:val="FF0000"/>
                <w:sz w:val="24"/>
                <w:szCs w:val="24"/>
                <w:lang w:eastAsia="ja-JP"/>
              </w:rPr>
            </w:pPr>
          </w:p>
        </w:tc>
      </w:tr>
      <w:tr w:rsidR="0012021E" w:rsidRPr="0012021E" w:rsidTr="00564690">
        <w:trPr>
          <w:trHeight w:val="20"/>
          <w:jc w:val="center"/>
        </w:trPr>
        <w:tc>
          <w:tcPr>
            <w:tcW w:w="28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/>
            <w:vAlign w:val="center"/>
            <w:hideMark/>
          </w:tcPr>
          <w:p w:rsidR="0012021E" w:rsidRPr="0012021E" w:rsidRDefault="0012021E" w:rsidP="0012021E">
            <w:pPr>
              <w:spacing w:after="0" w:line="240" w:lineRule="auto"/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>Тања</w:t>
            </w:r>
            <w:proofErr w:type="spellEnd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>Нешковић</w:t>
            </w:r>
            <w:proofErr w:type="spellEnd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>социјални</w:t>
            </w:r>
            <w:proofErr w:type="spellEnd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>радник</w:t>
            </w:r>
            <w:proofErr w:type="spellEnd"/>
          </w:p>
        </w:tc>
        <w:tc>
          <w:tcPr>
            <w:tcW w:w="8188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12021E" w:rsidRPr="0012021E" w:rsidRDefault="0012021E" w:rsidP="0012021E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color w:val="FF0000"/>
                <w:sz w:val="24"/>
                <w:szCs w:val="24"/>
                <w:lang w:val="sr-Cyrl-CS" w:eastAsia="ja-JP"/>
              </w:rPr>
            </w:pPr>
          </w:p>
        </w:tc>
      </w:tr>
      <w:tr w:rsidR="0012021E" w:rsidRPr="0012021E" w:rsidTr="00564690">
        <w:trPr>
          <w:trHeight w:val="20"/>
          <w:jc w:val="center"/>
        </w:trPr>
        <w:tc>
          <w:tcPr>
            <w:tcW w:w="280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DE9D9"/>
            <w:vAlign w:val="center"/>
            <w:hideMark/>
          </w:tcPr>
          <w:p w:rsidR="0012021E" w:rsidRPr="0012021E" w:rsidRDefault="0012021E" w:rsidP="0012021E">
            <w:pPr>
              <w:spacing w:after="0" w:line="240" w:lineRule="auto"/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val="sr-Cyrl-RS" w:eastAsia="ja-JP"/>
              </w:rPr>
            </w:pPr>
            <w:proofErr w:type="spellStart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>Иван</w:t>
            </w:r>
            <w:proofErr w:type="spellEnd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>Митић</w:t>
            </w:r>
            <w:proofErr w:type="spellEnd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, </w:t>
            </w:r>
          </w:p>
          <w:p w:rsidR="0012021E" w:rsidRPr="0012021E" w:rsidRDefault="0012021E" w:rsidP="0012021E">
            <w:pPr>
              <w:spacing w:after="0" w:line="240" w:lineRule="auto"/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>социјални</w:t>
            </w:r>
            <w:proofErr w:type="spellEnd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12021E">
              <w:rPr>
                <w:rFonts w:ascii="Calibri" w:eastAsia="MS Mincho" w:hAnsi="Calibri" w:cs="Times New Roman"/>
                <w:b/>
                <w:bCs/>
                <w:color w:val="000000"/>
                <w:sz w:val="24"/>
                <w:szCs w:val="24"/>
                <w:lang w:eastAsia="ja-JP"/>
              </w:rPr>
              <w:t>радник</w:t>
            </w:r>
            <w:proofErr w:type="spellEnd"/>
          </w:p>
        </w:tc>
        <w:tc>
          <w:tcPr>
            <w:tcW w:w="8188" w:type="dxa"/>
            <w:gridSpan w:val="6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12021E" w:rsidRPr="0012021E" w:rsidRDefault="0012021E" w:rsidP="0012021E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color w:val="FF0000"/>
                <w:sz w:val="24"/>
                <w:szCs w:val="24"/>
                <w:lang w:eastAsia="ja-JP"/>
              </w:rPr>
            </w:pPr>
          </w:p>
        </w:tc>
      </w:tr>
    </w:tbl>
    <w:p w:rsidR="0012021E" w:rsidRPr="0012021E" w:rsidRDefault="0012021E" w:rsidP="0012021E">
      <w:pPr>
        <w:spacing w:after="0" w:line="240" w:lineRule="auto"/>
        <w:rPr>
          <w:rFonts w:ascii="Calibri" w:eastAsia="Times New Roman" w:hAnsi="Calibri" w:cs="Times New Roman"/>
          <w:i/>
          <w:color w:val="FF0000"/>
          <w:sz w:val="24"/>
          <w:szCs w:val="24"/>
          <w:lang w:val="sr-Cyrl-CS"/>
        </w:rPr>
      </w:pPr>
    </w:p>
    <w:p w:rsidR="0012021E" w:rsidRPr="0012021E" w:rsidRDefault="0012021E" w:rsidP="0012021E">
      <w:pPr>
        <w:spacing w:after="0" w:line="240" w:lineRule="auto"/>
        <w:rPr>
          <w:rFonts w:ascii="Calibri" w:eastAsia="MS Mincho" w:hAnsi="Calibri" w:cs="Times New Roman"/>
          <w:b/>
          <w:color w:val="FF0000"/>
          <w:sz w:val="28"/>
          <w:szCs w:val="28"/>
          <w:lang w:val="sr-Cyrl-RS" w:eastAsia="ja-JP"/>
        </w:rPr>
      </w:pPr>
    </w:p>
    <w:p w:rsidR="0012021E" w:rsidRPr="0012021E" w:rsidRDefault="0012021E" w:rsidP="0012021E">
      <w:pPr>
        <w:spacing w:after="0" w:line="240" w:lineRule="auto"/>
        <w:jc w:val="both"/>
        <w:rPr>
          <w:rFonts w:ascii="Calibri" w:eastAsia="MS Mincho" w:hAnsi="Calibri" w:cs="Times New Roman"/>
          <w:b/>
          <w:color w:val="FF0000"/>
          <w:sz w:val="28"/>
          <w:szCs w:val="28"/>
          <w:lang w:val="sr-Cyrl-RS" w:eastAsia="ja-JP"/>
        </w:rPr>
      </w:pPr>
    </w:p>
    <w:p w:rsidR="0012021E" w:rsidRPr="0012021E" w:rsidRDefault="0012021E" w:rsidP="0012021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</w:pPr>
      <w:r w:rsidRPr="0012021E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>Радно време РАЧУНОВОДСТВА и СЕКРЕТАРА  је увек пре подне од 7 и 30 до 14 и 30 осим у изузетним ситуацијама.</w:t>
      </w:r>
    </w:p>
    <w:p w:rsidR="0012021E" w:rsidRPr="0012021E" w:rsidRDefault="0012021E" w:rsidP="0012021E">
      <w:pPr>
        <w:spacing w:after="0" w:line="240" w:lineRule="auto"/>
        <w:jc w:val="center"/>
        <w:rPr>
          <w:rFonts w:ascii="Calibri" w:eastAsia="MS Mincho" w:hAnsi="Calibri" w:cs="Times New Roman"/>
          <w:b/>
          <w:color w:val="FF0000"/>
          <w:sz w:val="28"/>
          <w:szCs w:val="28"/>
          <w:lang w:val="sr-Cyrl-RS" w:eastAsia="ja-JP"/>
        </w:rPr>
      </w:pPr>
    </w:p>
    <w:p w:rsidR="00611369" w:rsidRDefault="00611369">
      <w:bookmarkStart w:id="2" w:name="_GoBack"/>
      <w:bookmarkEnd w:id="2"/>
    </w:p>
    <w:sectPr w:rsidR="00611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1E"/>
    <w:rsid w:val="0012021E"/>
    <w:rsid w:val="0061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Радно време руководства и стручне службе</vt:lpstr>
    </vt:vector>
  </TitlesOfParts>
  <Company>home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2025-09-24T06:46:00Z</dcterms:created>
  <dcterms:modified xsi:type="dcterms:W3CDTF">2025-09-24T06:46:00Z</dcterms:modified>
</cp:coreProperties>
</file>